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E6" w:rsidRPr="0041327B" w:rsidRDefault="00257BE6" w:rsidP="00257BE6">
      <w:pPr>
        <w:pStyle w:val="a5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257BE6" w:rsidRPr="0041327B" w:rsidRDefault="00257BE6" w:rsidP="00257B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СОВЕТ НАРОДНЫХ ДЕПУТАТОВ </w:t>
      </w:r>
    </w:p>
    <w:p w:rsidR="00257BE6" w:rsidRPr="0041327B" w:rsidRDefault="00257BE6" w:rsidP="00257BE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ПРАВОХАВСКОГО  СЕЛЬСКОГО  ПОСЕЛЕНИЯ  </w:t>
      </w:r>
    </w:p>
    <w:p w:rsidR="00257BE6" w:rsidRPr="0041327B" w:rsidRDefault="00257BE6" w:rsidP="00257BE6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257BE6" w:rsidRPr="0041327B" w:rsidRDefault="00257BE6" w:rsidP="00257BE6">
      <w:pPr>
        <w:pStyle w:val="a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257BE6" w:rsidRPr="0041327B" w:rsidRDefault="00257BE6" w:rsidP="00257BE6">
      <w:pPr>
        <w:pStyle w:val="a5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57BE6" w:rsidRPr="0041327B" w:rsidRDefault="00257BE6" w:rsidP="00257BE6">
      <w:pPr>
        <w:pStyle w:val="a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257BE6" w:rsidRPr="0041327B" w:rsidRDefault="00257BE6" w:rsidP="00257BE6">
      <w:pPr>
        <w:pStyle w:val="a5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57BE6" w:rsidRDefault="00257BE6" w:rsidP="00257BE6">
      <w:pPr>
        <w:pStyle w:val="a5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от  </w:t>
      </w:r>
      <w:r w:rsidR="004A4996">
        <w:rPr>
          <w:rFonts w:ascii="Times New Roman" w:hAnsi="Times New Roman" w:cs="Times New Roman"/>
          <w:sz w:val="28"/>
          <w:szCs w:val="28"/>
        </w:rPr>
        <w:t>13.05.</w:t>
      </w:r>
      <w:r w:rsidRPr="0041327B">
        <w:rPr>
          <w:rFonts w:ascii="Times New Roman" w:hAnsi="Times New Roman" w:cs="Times New Roman"/>
          <w:sz w:val="28"/>
          <w:szCs w:val="28"/>
        </w:rPr>
        <w:t>20</w:t>
      </w:r>
      <w:r w:rsidR="004A4996">
        <w:rPr>
          <w:rFonts w:ascii="Times New Roman" w:hAnsi="Times New Roman" w:cs="Times New Roman"/>
          <w:sz w:val="28"/>
          <w:szCs w:val="28"/>
        </w:rPr>
        <w:t>21</w:t>
      </w:r>
      <w:r w:rsidRPr="0041327B">
        <w:rPr>
          <w:rFonts w:ascii="Times New Roman" w:hAnsi="Times New Roman" w:cs="Times New Roman"/>
          <w:sz w:val="28"/>
          <w:szCs w:val="28"/>
        </w:rPr>
        <w:t xml:space="preserve">г.№ </w:t>
      </w:r>
      <w:r w:rsidR="004A499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49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327B">
        <w:rPr>
          <w:rFonts w:ascii="Times New Roman" w:hAnsi="Times New Roman" w:cs="Times New Roman"/>
          <w:sz w:val="28"/>
          <w:szCs w:val="28"/>
        </w:rPr>
        <w:t>-СНД</w:t>
      </w:r>
    </w:p>
    <w:p w:rsidR="00257BE6" w:rsidRPr="0041327B" w:rsidRDefault="00257BE6" w:rsidP="00257BE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с.Правая Хава</w:t>
      </w:r>
    </w:p>
    <w:p w:rsidR="00257BE6" w:rsidRPr="0041327B" w:rsidRDefault="00257BE6" w:rsidP="00257BE6">
      <w:pPr>
        <w:pStyle w:val="a5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257BE6" w:rsidRPr="00257BE6" w:rsidRDefault="00257BE6" w:rsidP="004A4996">
      <w:pPr>
        <w:pStyle w:val="a3"/>
        <w:spacing w:before="0" w:beforeAutospacing="0" w:after="0" w:afterAutospacing="0" w:line="240" w:lineRule="exact"/>
        <w:rPr>
          <w:b/>
          <w:spacing w:val="17"/>
          <w:sz w:val="28"/>
          <w:szCs w:val="28"/>
        </w:rPr>
      </w:pPr>
      <w:r w:rsidRPr="00257BE6">
        <w:rPr>
          <w:b/>
          <w:spacing w:val="17"/>
          <w:sz w:val="28"/>
          <w:szCs w:val="28"/>
        </w:rPr>
        <w:t>Об утверждении</w:t>
      </w:r>
      <w:r w:rsidR="004A4996" w:rsidRPr="004A4996">
        <w:rPr>
          <w:b/>
          <w:spacing w:val="17"/>
          <w:sz w:val="28"/>
          <w:szCs w:val="28"/>
        </w:rPr>
        <w:t xml:space="preserve"> актуализированной                                                          </w:t>
      </w:r>
      <w:r w:rsidRPr="00257BE6">
        <w:rPr>
          <w:b/>
          <w:spacing w:val="17"/>
          <w:sz w:val="28"/>
          <w:szCs w:val="28"/>
        </w:rPr>
        <w:t xml:space="preserve"> схемы теплоснабжения Правохавского</w:t>
      </w:r>
    </w:p>
    <w:p w:rsidR="00257BE6" w:rsidRPr="00257BE6" w:rsidRDefault="00257BE6" w:rsidP="004A4996">
      <w:pPr>
        <w:pStyle w:val="a3"/>
        <w:spacing w:before="0" w:beforeAutospacing="0" w:after="0" w:afterAutospacing="0" w:line="240" w:lineRule="exact"/>
        <w:rPr>
          <w:b/>
          <w:spacing w:val="17"/>
          <w:sz w:val="28"/>
          <w:szCs w:val="28"/>
        </w:rPr>
      </w:pPr>
      <w:r w:rsidRPr="00257BE6">
        <w:rPr>
          <w:b/>
          <w:spacing w:val="17"/>
          <w:sz w:val="28"/>
          <w:szCs w:val="28"/>
        </w:rPr>
        <w:t>сельского поселения</w:t>
      </w:r>
    </w:p>
    <w:p w:rsidR="00257BE6" w:rsidRPr="00257BE6" w:rsidRDefault="00257BE6" w:rsidP="00257BE6">
      <w:pPr>
        <w:pStyle w:val="a3"/>
        <w:spacing w:before="0" w:beforeAutospacing="0" w:after="0" w:afterAutospacing="0"/>
        <w:jc w:val="both"/>
        <w:rPr>
          <w:spacing w:val="17"/>
          <w:sz w:val="28"/>
          <w:szCs w:val="28"/>
        </w:rPr>
      </w:pPr>
    </w:p>
    <w:p w:rsidR="00257BE6" w:rsidRPr="00257BE6" w:rsidRDefault="00257BE6" w:rsidP="00257BE6">
      <w:pPr>
        <w:pStyle w:val="a3"/>
        <w:spacing w:before="0" w:beforeAutospacing="0" w:after="0" w:afterAutospacing="0"/>
        <w:ind w:firstLine="720"/>
        <w:jc w:val="both"/>
        <w:rPr>
          <w:spacing w:val="17"/>
          <w:sz w:val="28"/>
          <w:szCs w:val="28"/>
        </w:rPr>
      </w:pPr>
    </w:p>
    <w:p w:rsidR="00257BE6" w:rsidRDefault="00257BE6" w:rsidP="00257B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57BE6">
        <w:rPr>
          <w:spacing w:val="17"/>
          <w:sz w:val="28"/>
          <w:szCs w:val="28"/>
        </w:rPr>
        <w:t xml:space="preserve">На основании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257BE6">
          <w:rPr>
            <w:spacing w:val="17"/>
            <w:sz w:val="28"/>
            <w:szCs w:val="28"/>
          </w:rPr>
          <w:t>27.07.2010</w:t>
        </w:r>
      </w:smartTag>
      <w:r w:rsidRPr="00257BE6">
        <w:rPr>
          <w:spacing w:val="17"/>
          <w:sz w:val="28"/>
          <w:szCs w:val="28"/>
        </w:rPr>
        <w:t xml:space="preserve"> года № 190 -ФЗ «О теплоснабжении</w:t>
      </w:r>
      <w:r w:rsidRPr="00257BE6">
        <w:rPr>
          <w:spacing w:val="1"/>
          <w:sz w:val="28"/>
          <w:szCs w:val="28"/>
        </w:rPr>
        <w:t>»,</w:t>
      </w:r>
      <w:r w:rsidRPr="00257BE6">
        <w:rPr>
          <w:spacing w:val="1"/>
        </w:rPr>
        <w:t xml:space="preserve"> </w:t>
      </w:r>
      <w:r w:rsidRPr="00257BE6">
        <w:rPr>
          <w:spacing w:val="1"/>
          <w:sz w:val="28"/>
          <w:szCs w:val="28"/>
        </w:rPr>
        <w:t xml:space="preserve">Устава Правохавского сельского поселения </w:t>
      </w:r>
      <w:r w:rsidRPr="00257BE6">
        <w:rPr>
          <w:sz w:val="28"/>
          <w:szCs w:val="28"/>
        </w:rPr>
        <w:t xml:space="preserve">Совет народных депутатов  </w:t>
      </w:r>
      <w:proofErr w:type="spellStart"/>
      <w:r w:rsidRPr="00257BE6">
        <w:rPr>
          <w:sz w:val="28"/>
          <w:szCs w:val="28"/>
        </w:rPr>
        <w:t>Правохавского</w:t>
      </w:r>
      <w:proofErr w:type="spellEnd"/>
      <w:r w:rsidRPr="00257BE6">
        <w:rPr>
          <w:sz w:val="28"/>
          <w:szCs w:val="28"/>
        </w:rPr>
        <w:t xml:space="preserve"> сельского поселения </w:t>
      </w:r>
      <w:proofErr w:type="spellStart"/>
      <w:r w:rsidRPr="00257BE6">
        <w:rPr>
          <w:sz w:val="28"/>
          <w:szCs w:val="28"/>
        </w:rPr>
        <w:t>Верхнехавского</w:t>
      </w:r>
      <w:proofErr w:type="spellEnd"/>
      <w:r w:rsidRPr="00257BE6">
        <w:rPr>
          <w:sz w:val="28"/>
          <w:szCs w:val="28"/>
        </w:rPr>
        <w:t xml:space="preserve"> муниципального района </w:t>
      </w:r>
      <w:r w:rsidR="004A4996">
        <w:rPr>
          <w:sz w:val="28"/>
          <w:szCs w:val="28"/>
        </w:rPr>
        <w:t>В</w:t>
      </w:r>
      <w:r w:rsidRPr="00257BE6">
        <w:rPr>
          <w:sz w:val="28"/>
          <w:szCs w:val="28"/>
        </w:rPr>
        <w:t>оронежской области</w:t>
      </w:r>
    </w:p>
    <w:p w:rsidR="00257BE6" w:rsidRPr="00257BE6" w:rsidRDefault="00257BE6" w:rsidP="00257BE6">
      <w:pPr>
        <w:pStyle w:val="a3"/>
        <w:spacing w:before="0" w:beforeAutospacing="0" w:after="0" w:afterAutospacing="0"/>
        <w:ind w:firstLine="720"/>
        <w:jc w:val="both"/>
        <w:rPr>
          <w:spacing w:val="17"/>
          <w:sz w:val="28"/>
          <w:szCs w:val="28"/>
        </w:rPr>
      </w:pPr>
    </w:p>
    <w:p w:rsidR="00257BE6" w:rsidRPr="00257BE6" w:rsidRDefault="00257BE6" w:rsidP="00257BE6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57BE6">
        <w:rPr>
          <w:rFonts w:ascii="Times New Roman" w:hAnsi="Times New Roman" w:cs="Times New Roman"/>
          <w:sz w:val="28"/>
          <w:szCs w:val="28"/>
        </w:rPr>
        <w:t>РЕШИЛ:</w:t>
      </w:r>
    </w:p>
    <w:p w:rsidR="00257BE6" w:rsidRPr="00257BE6" w:rsidRDefault="00257BE6" w:rsidP="00257BE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7BE6">
        <w:rPr>
          <w:rFonts w:ascii="Times New Roman" w:hAnsi="Times New Roman" w:cs="Times New Roman"/>
          <w:sz w:val="28"/>
          <w:szCs w:val="28"/>
        </w:rPr>
        <w:t>1. Утвердить</w:t>
      </w:r>
      <w:r w:rsidR="004A4996">
        <w:rPr>
          <w:rFonts w:ascii="Times New Roman" w:hAnsi="Times New Roman" w:cs="Times New Roman"/>
          <w:sz w:val="28"/>
          <w:szCs w:val="28"/>
        </w:rPr>
        <w:t xml:space="preserve"> актуализированную</w:t>
      </w:r>
      <w:r w:rsidRPr="00257BE6">
        <w:rPr>
          <w:rFonts w:ascii="Times New Roman" w:hAnsi="Times New Roman" w:cs="Times New Roman"/>
          <w:sz w:val="28"/>
          <w:szCs w:val="28"/>
        </w:rPr>
        <w:t xml:space="preserve"> схему теплоснабжения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257B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11CD0">
        <w:rPr>
          <w:rFonts w:ascii="Times New Roman" w:hAnsi="Times New Roman" w:cs="Times New Roman"/>
          <w:sz w:val="28"/>
          <w:szCs w:val="28"/>
        </w:rPr>
        <w:t xml:space="preserve"> </w:t>
      </w:r>
      <w:r w:rsidRPr="00257BE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7BE6">
        <w:rPr>
          <w:rFonts w:ascii="Times New Roman" w:hAnsi="Times New Roman" w:cs="Times New Roman"/>
          <w:sz w:val="28"/>
          <w:szCs w:val="28"/>
        </w:rPr>
        <w:t>.</w:t>
      </w:r>
    </w:p>
    <w:p w:rsidR="00257BE6" w:rsidRPr="00257BE6" w:rsidRDefault="00257BE6" w:rsidP="00257BE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57BE6">
        <w:rPr>
          <w:rFonts w:ascii="Times New Roman" w:hAnsi="Times New Roman" w:cs="Times New Roman"/>
          <w:sz w:val="28"/>
          <w:szCs w:val="28"/>
        </w:rPr>
        <w:t xml:space="preserve">2. </w:t>
      </w:r>
      <w:r w:rsidR="00011CD0">
        <w:rPr>
          <w:rFonts w:ascii="Times New Roman" w:hAnsi="Times New Roman" w:cs="Times New Roman"/>
          <w:sz w:val="28"/>
          <w:szCs w:val="28"/>
        </w:rPr>
        <w:t xml:space="preserve">    </w:t>
      </w:r>
      <w:r w:rsidR="004A49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</w:t>
      </w:r>
      <w:r w:rsidRPr="00257B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7BE6" w:rsidRPr="00257BE6" w:rsidRDefault="00257BE6" w:rsidP="00257BE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11CD0" w:rsidRDefault="00257BE6">
      <w:pPr>
        <w:rPr>
          <w:rFonts w:ascii="Times New Roman" w:hAnsi="Times New Roman" w:cs="Times New Roman"/>
          <w:sz w:val="28"/>
          <w:szCs w:val="28"/>
        </w:rPr>
      </w:pPr>
      <w:r w:rsidRPr="00257BE6">
        <w:rPr>
          <w:rFonts w:ascii="Times New Roman" w:hAnsi="Times New Roman" w:cs="Times New Roman"/>
          <w:sz w:val="28"/>
          <w:szCs w:val="28"/>
        </w:rPr>
        <w:t>Глава Правохавского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  </w:t>
      </w:r>
      <w:r w:rsidR="004A4996">
        <w:rPr>
          <w:rFonts w:ascii="Times New Roman" w:hAnsi="Times New Roman" w:cs="Times New Roman"/>
          <w:sz w:val="28"/>
          <w:szCs w:val="28"/>
        </w:rPr>
        <w:t>Е.Ю.Сорокина</w:t>
      </w:r>
    </w:p>
    <w:p w:rsidR="00011CD0" w:rsidRP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011CD0" w:rsidRP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011CD0" w:rsidRP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011CD0" w:rsidRP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011CD0" w:rsidRP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011CD0" w:rsidRDefault="00011CD0" w:rsidP="00011CD0">
      <w:pPr>
        <w:rPr>
          <w:rFonts w:ascii="Times New Roman" w:hAnsi="Times New Roman" w:cs="Times New Roman"/>
          <w:sz w:val="28"/>
          <w:szCs w:val="28"/>
        </w:rPr>
      </w:pPr>
    </w:p>
    <w:p w:rsidR="004A4996" w:rsidRDefault="004A4996" w:rsidP="00011CD0">
      <w:pPr>
        <w:rPr>
          <w:rFonts w:ascii="Times New Roman" w:hAnsi="Times New Roman" w:cs="Times New Roman"/>
          <w:sz w:val="28"/>
          <w:szCs w:val="28"/>
        </w:rPr>
      </w:pPr>
    </w:p>
    <w:p w:rsidR="00DD2DA0" w:rsidRDefault="00011CD0" w:rsidP="00011CD0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1CD0" w:rsidRDefault="00011CD0" w:rsidP="00011CD0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011CD0" w:rsidRPr="00011CD0" w:rsidRDefault="00011CD0" w:rsidP="00011CD0">
      <w:pPr>
        <w:pStyle w:val="ConsPlusTitle"/>
        <w:ind w:left="5664" w:right="-136" w:firstLine="6"/>
        <w:jc w:val="both"/>
        <w:rPr>
          <w:b w:val="0"/>
          <w:sz w:val="28"/>
          <w:szCs w:val="28"/>
        </w:rPr>
      </w:pPr>
      <w:r w:rsidRPr="00011CD0">
        <w:rPr>
          <w:b w:val="0"/>
          <w:sz w:val="28"/>
          <w:szCs w:val="28"/>
        </w:rPr>
        <w:lastRenderedPageBreak/>
        <w:t xml:space="preserve">Приложение к решению Совета народных депутатов Правохавского сельского поселения Верхнехавского муниципального района Воронежской области </w:t>
      </w:r>
    </w:p>
    <w:p w:rsidR="00011CD0" w:rsidRDefault="004A4996" w:rsidP="00011CD0">
      <w:pPr>
        <w:shd w:val="clear" w:color="auto" w:fill="FFFFFF"/>
        <w:tabs>
          <w:tab w:val="left" w:pos="5730"/>
        </w:tabs>
        <w:spacing w:line="322" w:lineRule="exact"/>
        <w:ind w:left="10" w:right="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11CD0" w:rsidRPr="00011C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13.05.2021</w:t>
      </w:r>
      <w:r w:rsidR="00011CD0" w:rsidRPr="00011CD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11CD0" w:rsidRPr="00011CD0">
        <w:rPr>
          <w:rFonts w:ascii="Times New Roman" w:hAnsi="Times New Roman" w:cs="Times New Roman"/>
          <w:sz w:val="28"/>
          <w:szCs w:val="28"/>
        </w:rPr>
        <w:t xml:space="preserve"> -</w:t>
      </w:r>
      <w:r w:rsidR="00011CD0" w:rsidRPr="00011CD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11CD0" w:rsidRPr="00011CD0">
        <w:rPr>
          <w:rFonts w:ascii="Times New Roman" w:hAnsi="Times New Roman" w:cs="Times New Roman"/>
          <w:sz w:val="28"/>
          <w:szCs w:val="28"/>
        </w:rPr>
        <w:t>-СНД</w:t>
      </w:r>
    </w:p>
    <w:p w:rsidR="00D85955" w:rsidRDefault="00D85955" w:rsidP="00011CD0">
      <w:pPr>
        <w:shd w:val="clear" w:color="auto" w:fill="FFFFFF"/>
        <w:tabs>
          <w:tab w:val="left" w:pos="5730"/>
        </w:tabs>
        <w:spacing w:line="322" w:lineRule="exact"/>
        <w:ind w:left="10" w:right="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996" w:rsidRDefault="004A4996" w:rsidP="004A4996">
      <w:pPr>
        <w:shd w:val="clear" w:color="auto" w:fill="FFFFFF"/>
        <w:tabs>
          <w:tab w:val="left" w:pos="5730"/>
        </w:tabs>
        <w:spacing w:line="322" w:lineRule="exact"/>
        <w:ind w:left="10" w:right="6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D85955" w:rsidRDefault="004A4996" w:rsidP="004A4996">
      <w:pPr>
        <w:shd w:val="clear" w:color="auto" w:fill="FFFFFF"/>
        <w:tabs>
          <w:tab w:val="left" w:pos="5730"/>
        </w:tabs>
        <w:spacing w:line="322" w:lineRule="exact"/>
        <w:ind w:left="10" w:right="6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теплоснабжения Правохавского сельского поселения</w:t>
      </w:r>
    </w:p>
    <w:p w:rsidR="00D85955" w:rsidRDefault="00D85955" w:rsidP="00D859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011CD0" w:rsidRPr="00011CD0" w:rsidRDefault="00011CD0" w:rsidP="00011CD0">
      <w:pPr>
        <w:shd w:val="clear" w:color="auto" w:fill="FFFFFF"/>
        <w:spacing w:line="322" w:lineRule="exact"/>
        <w:ind w:left="10" w:right="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11CD0">
        <w:rPr>
          <w:rFonts w:ascii="Times New Roman" w:hAnsi="Times New Roman" w:cs="Times New Roman"/>
          <w:spacing w:val="18"/>
          <w:sz w:val="28"/>
          <w:szCs w:val="28"/>
        </w:rPr>
        <w:t xml:space="preserve">     Основанием для разработки схемы теплоснабжения </w:t>
      </w:r>
      <w:r>
        <w:rPr>
          <w:rFonts w:ascii="Times New Roman" w:hAnsi="Times New Roman" w:cs="Times New Roman"/>
          <w:spacing w:val="18"/>
          <w:sz w:val="28"/>
          <w:szCs w:val="28"/>
        </w:rPr>
        <w:t>Правохавского</w:t>
      </w:r>
      <w:r w:rsidRPr="00011CD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011CD0">
        <w:rPr>
          <w:rFonts w:ascii="Times New Roman" w:hAnsi="Times New Roman" w:cs="Times New Roman"/>
          <w:spacing w:val="6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pacing w:val="6"/>
          <w:sz w:val="28"/>
          <w:szCs w:val="28"/>
        </w:rPr>
        <w:t>Верхнехавского</w:t>
      </w:r>
      <w:r w:rsidRPr="00011CD0">
        <w:rPr>
          <w:rFonts w:ascii="Times New Roman" w:hAnsi="Times New Roman" w:cs="Times New Roman"/>
          <w:spacing w:val="6"/>
          <w:sz w:val="28"/>
          <w:szCs w:val="28"/>
        </w:rPr>
        <w:t xml:space="preserve"> муниципального</w:t>
      </w:r>
      <w:r w:rsidRPr="00011CD0">
        <w:rPr>
          <w:rFonts w:ascii="Times New Roman" w:hAnsi="Times New Roman" w:cs="Times New Roman"/>
          <w:spacing w:val="3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Воронежской области </w:t>
      </w:r>
      <w:r w:rsidRPr="00011CD0">
        <w:rPr>
          <w:rFonts w:ascii="Times New Roman" w:hAnsi="Times New Roman" w:cs="Times New Roman"/>
          <w:spacing w:val="3"/>
          <w:sz w:val="28"/>
          <w:szCs w:val="28"/>
        </w:rPr>
        <w:t>явля</w:t>
      </w:r>
      <w:r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011CD0">
        <w:rPr>
          <w:rFonts w:ascii="Times New Roman" w:hAnsi="Times New Roman" w:cs="Times New Roman"/>
          <w:spacing w:val="3"/>
          <w:sz w:val="28"/>
          <w:szCs w:val="28"/>
        </w:rPr>
        <w:t>тся:</w:t>
      </w:r>
    </w:p>
    <w:p w:rsidR="00011CD0" w:rsidRPr="00011CD0" w:rsidRDefault="00011CD0" w:rsidP="00011CD0">
      <w:pPr>
        <w:shd w:val="clear" w:color="auto" w:fill="FFFFFF"/>
        <w:spacing w:line="322" w:lineRule="exact"/>
        <w:ind w:right="67"/>
        <w:jc w:val="both"/>
        <w:rPr>
          <w:rFonts w:ascii="Times New Roman" w:hAnsi="Times New Roman" w:cs="Times New Roman"/>
          <w:spacing w:val="17"/>
          <w:sz w:val="28"/>
          <w:szCs w:val="28"/>
        </w:rPr>
      </w:pPr>
      <w:r w:rsidRPr="00011CD0"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="000451BF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011CD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11CD0">
        <w:rPr>
          <w:rFonts w:ascii="Times New Roman" w:hAnsi="Times New Roman" w:cs="Times New Roman"/>
          <w:spacing w:val="17"/>
          <w:sz w:val="28"/>
          <w:szCs w:val="28"/>
        </w:rPr>
        <w:t>Федеральный закон от 27.07.2010 года № 190-ФЗ «О  теплоснабжении</w:t>
      </w:r>
      <w:r w:rsidRPr="00011CD0">
        <w:rPr>
          <w:rFonts w:ascii="Times New Roman" w:hAnsi="Times New Roman" w:cs="Times New Roman"/>
          <w:spacing w:val="1"/>
          <w:sz w:val="28"/>
          <w:szCs w:val="28"/>
        </w:rPr>
        <w:t>»;</w:t>
      </w:r>
    </w:p>
    <w:p w:rsidR="00011CD0" w:rsidRPr="00011CD0" w:rsidRDefault="00011CD0" w:rsidP="00011CD0">
      <w:pPr>
        <w:shd w:val="clear" w:color="auto" w:fill="FFFFFF"/>
        <w:spacing w:line="326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011CD0">
        <w:rPr>
          <w:rFonts w:ascii="Times New Roman" w:hAnsi="Times New Roman" w:cs="Times New Roman"/>
          <w:sz w:val="28"/>
          <w:szCs w:val="28"/>
        </w:rPr>
        <w:t xml:space="preserve">   </w:t>
      </w:r>
      <w:r w:rsidR="000451BF">
        <w:rPr>
          <w:rFonts w:ascii="Times New Roman" w:hAnsi="Times New Roman" w:cs="Times New Roman"/>
          <w:sz w:val="28"/>
          <w:szCs w:val="28"/>
        </w:rPr>
        <w:t>-</w:t>
      </w:r>
      <w:r w:rsidRPr="00011CD0">
        <w:rPr>
          <w:rFonts w:ascii="Times New Roman" w:hAnsi="Times New Roman" w:cs="Times New Roman"/>
          <w:sz w:val="28"/>
          <w:szCs w:val="28"/>
        </w:rPr>
        <w:t xml:space="preserve">  Генеральный план </w:t>
      </w:r>
      <w:r w:rsidR="000451BF">
        <w:rPr>
          <w:rFonts w:ascii="Times New Roman" w:hAnsi="Times New Roman" w:cs="Times New Roman"/>
          <w:sz w:val="28"/>
          <w:szCs w:val="28"/>
        </w:rPr>
        <w:t>Правохавского</w:t>
      </w:r>
      <w:r w:rsidRPr="00011CD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4996" w:rsidRDefault="004A4996" w:rsidP="004A4996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Правохавское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расположено в южной части Верхнехавского муниципального района в 18 км от районного центра                            с. Верхняя Хава. Административным центром поселения является село Правая Хава. </w:t>
      </w:r>
    </w:p>
    <w:p w:rsidR="004A4996" w:rsidRDefault="004A4996" w:rsidP="004A4996">
      <w:pPr>
        <w:spacing w:after="0" w:line="240" w:lineRule="auto"/>
        <w:ind w:right="27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Правохавского сельского поселения расположено 3 населенных пункта: село Правая Хава, д. Ильиновка, поселок Хлопотное. Административным центром поселения является с.Правая Хава. </w:t>
      </w:r>
      <w:r w:rsidRPr="00011CD0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Географическая площадь территории </w:t>
      </w:r>
      <w:r>
        <w:rPr>
          <w:rFonts w:ascii="Times New Roman" w:hAnsi="Times New Roman"/>
          <w:sz w:val="28"/>
          <w:szCs w:val="28"/>
        </w:rPr>
        <w:t>составляет 6830 га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A4996" w:rsidRPr="008E37D7" w:rsidRDefault="004A4996" w:rsidP="004A4996">
      <w:pPr>
        <w:ind w:right="-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7D7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Правохавского сельского поселения – 5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37D7">
        <w:rPr>
          <w:rFonts w:ascii="Times New Roman" w:hAnsi="Times New Roman" w:cs="Times New Roman"/>
          <w:color w:val="000000"/>
          <w:sz w:val="28"/>
          <w:szCs w:val="28"/>
        </w:rPr>
        <w:t>0 человек.</w:t>
      </w:r>
    </w:p>
    <w:p w:rsidR="004A4996" w:rsidRDefault="004A4996" w:rsidP="004A4996">
      <w:pPr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Правохавского поселения расположена в зоне умеренно-континентального климата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</w:rPr>
        <w:t>с жарким и сухим летом и умеренно холодной зимой с устойчивым снежным покровом, хорошо выраженными переходными сезонами. Самый холодный месяц - январь, самый теплый - июль. Средняя температура января — 9,5</w:t>
      </w: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0 </w:t>
      </w: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</w:rPr>
        <w:t>С, июля +19,8</w:t>
      </w: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0 </w:t>
      </w:r>
      <w:r w:rsidRPr="008E37D7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4A4996" w:rsidRPr="00D85955" w:rsidRDefault="004A4996" w:rsidP="004A4996">
      <w:pPr>
        <w:rPr>
          <w:rFonts w:ascii="Times New Roman" w:hAnsi="Times New Roman" w:cs="Times New Roman"/>
          <w:bCs/>
          <w:sz w:val="28"/>
          <w:szCs w:val="28"/>
        </w:rPr>
      </w:pPr>
      <w:r w:rsidRPr="0084457C">
        <w:rPr>
          <w:rFonts w:ascii="Calibri" w:eastAsia="Times New Roman" w:hAnsi="Calibri" w:cs="Times New Roman"/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84457C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Правая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источником теплоснабжения социально значимых объектов служит блочная котельная, работающая на газовом топливе и обеспечивающая теплом </w:t>
      </w:r>
      <w:r w:rsidRPr="00D85955">
        <w:rPr>
          <w:rFonts w:ascii="Times New Roman" w:hAnsi="Times New Roman" w:cs="Times New Roman"/>
          <w:sz w:val="28"/>
          <w:szCs w:val="28"/>
        </w:rPr>
        <w:t>МКОУ «Правохавская СОШ», МКУК «</w:t>
      </w:r>
      <w:proofErr w:type="spellStart"/>
      <w:r w:rsidRPr="00D85955">
        <w:rPr>
          <w:rFonts w:ascii="Times New Roman" w:hAnsi="Times New Roman" w:cs="Times New Roman"/>
          <w:sz w:val="28"/>
          <w:szCs w:val="28"/>
        </w:rPr>
        <w:t>Правохавской</w:t>
      </w:r>
      <w:proofErr w:type="spellEnd"/>
      <w:r w:rsidRPr="00D85955">
        <w:rPr>
          <w:rFonts w:ascii="Times New Roman" w:hAnsi="Times New Roman" w:cs="Times New Roman"/>
          <w:sz w:val="28"/>
          <w:szCs w:val="28"/>
        </w:rPr>
        <w:t xml:space="preserve"> СДК»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Характеристика котельной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-количество котлов -2 шт.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температура на выходе – 45-85 градусов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-режимы работы при аномальных температурах -85-95 градусов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Характеристика котла: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-тип КВ-ГМ-0,25-115Н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Год ввода в эксплуатацию-2008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-25 % износа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теплопроизводительность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котельной -0,430Гкал/час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-вид топлива – природный газ</w:t>
      </w:r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-среднесуточный расход -120 куб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</w:p>
    <w:p w:rsidR="004A4996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-время вывода на рабочий режим - 1,5-2 часа.</w:t>
      </w:r>
    </w:p>
    <w:p w:rsidR="004A4996" w:rsidRPr="00011CD0" w:rsidRDefault="004A4996" w:rsidP="004A4996">
      <w:pPr>
        <w:spacing w:before="100" w:beforeAutospacing="1" w:after="100" w:afterAutospacing="1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Протяженность сетей 140 м, закрытого типа, утеплитель - минеральная вата, диаметр труб-100 мм.</w:t>
      </w:r>
    </w:p>
    <w:p w:rsidR="004A4996" w:rsidRPr="00011CD0" w:rsidRDefault="004A4996" w:rsidP="004A4996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CD0">
        <w:rPr>
          <w:rFonts w:ascii="Times New Roman" w:hAnsi="Times New Roman" w:cs="Times New Roman"/>
          <w:sz w:val="28"/>
          <w:szCs w:val="28"/>
        </w:rPr>
        <w:t>Существующая схема теплоснабжения, является оптимальной, доступн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1CD0">
        <w:rPr>
          <w:rFonts w:ascii="Times New Roman" w:hAnsi="Times New Roman" w:cs="Times New Roman"/>
          <w:sz w:val="28"/>
          <w:szCs w:val="28"/>
        </w:rPr>
        <w:t xml:space="preserve"> к ревизии и ремонту.</w:t>
      </w:r>
    </w:p>
    <w:p w:rsidR="004A4996" w:rsidRPr="00011CD0" w:rsidRDefault="004A4996" w:rsidP="004A4996">
      <w:pPr>
        <w:pStyle w:val="a3"/>
        <w:rPr>
          <w:sz w:val="28"/>
          <w:szCs w:val="28"/>
        </w:rPr>
      </w:pPr>
      <w:r w:rsidRPr="00011CD0">
        <w:rPr>
          <w:sz w:val="28"/>
          <w:szCs w:val="28"/>
        </w:rPr>
        <w:tab/>
        <w:t xml:space="preserve"> </w:t>
      </w:r>
    </w:p>
    <w:p w:rsidR="004A4996" w:rsidRPr="00011CD0" w:rsidRDefault="004A4996" w:rsidP="004A4996">
      <w:pPr>
        <w:pStyle w:val="a3"/>
        <w:jc w:val="both"/>
        <w:rPr>
          <w:sz w:val="28"/>
          <w:szCs w:val="28"/>
        </w:rPr>
      </w:pPr>
      <w:r w:rsidRPr="00011CD0">
        <w:rPr>
          <w:sz w:val="28"/>
          <w:szCs w:val="28"/>
        </w:rPr>
        <w:t xml:space="preserve"> </w:t>
      </w:r>
    </w:p>
    <w:p w:rsidR="004A4996" w:rsidRPr="00011CD0" w:rsidRDefault="004A4996" w:rsidP="004A4996">
      <w:pPr>
        <w:rPr>
          <w:rFonts w:ascii="Times New Roman" w:hAnsi="Times New Roman" w:cs="Times New Roman"/>
          <w:sz w:val="28"/>
          <w:szCs w:val="28"/>
        </w:rPr>
      </w:pPr>
    </w:p>
    <w:p w:rsidR="004A4996" w:rsidRPr="00011CD0" w:rsidRDefault="004A4996" w:rsidP="004A4996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D85955" w:rsidRDefault="00D85955" w:rsidP="00011CD0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D85955" w:rsidRDefault="00D85955" w:rsidP="00D85955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955" w:rsidRPr="00011CD0" w:rsidRDefault="00D85955" w:rsidP="00D85955">
      <w:pPr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721F" w:rsidRDefault="0090721F" w:rsidP="00011CD0">
      <w:pPr>
        <w:autoSpaceDN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220616" w:rsidRDefault="00220616" w:rsidP="00F43D4F">
      <w:pPr>
        <w:tabs>
          <w:tab w:val="left" w:pos="4260"/>
        </w:tabs>
        <w:rPr>
          <w:rFonts w:ascii="Times New Roman" w:hAnsi="Times New Roman" w:cs="Times New Roman"/>
          <w:sz w:val="28"/>
          <w:szCs w:val="28"/>
        </w:rPr>
        <w:sectPr w:rsidR="00220616" w:rsidSect="00DD2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023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3B202E" w:rsidRPr="003B202E" w:rsidTr="00EB19E1">
        <w:trPr>
          <w:trHeight w:val="300"/>
        </w:trPr>
        <w:tc>
          <w:tcPr>
            <w:tcW w:w="15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</w:rPr>
              <w:lastRenderedPageBreak/>
              <w:t>Таблица П47.3. Тарифно-балансовая модель котельной в зоне деятельности единой теплоснабжающей организации N ... с учетом предложений по техническому перевооружению.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2031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Установленная тепловая мощность котельной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Ввод мощности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Вывод мощности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Средневзвешенный срок службы </w:t>
            </w:r>
            <w:proofErr w:type="spell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Располагаемая мощность оборудования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Собственные нужды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Потери мощности в тепловой сети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Хозяйственные нужды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Расчетная присоединенная тепловая нагрузка,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Отопление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Вентиляция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Резерв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(+)/</w:t>
            </w:r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дефицит (-) тепловой мощности*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Доля резерва (от установленной </w:t>
            </w: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мощности)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Резерв с N-1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Гкал/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Выработано тепловой энергии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0,423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Собственные нужды котельной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0,002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Отпущено с коллекторов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0,421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Потери при передаче по тепловым сетям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0,016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То же 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4,605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4,136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5,073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3,737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Затрачено топлива на выработку тепловой энергии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тыс. т </w:t>
            </w:r>
            <w:proofErr w:type="spell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у.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50,821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59,685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55,549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46,033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66,847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Средневзвешенный НУР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кг </w:t>
            </w:r>
            <w:proofErr w:type="spell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</w:t>
            </w: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.т</w:t>
            </w:r>
            <w:proofErr w:type="spellEnd"/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152,460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160,913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159,541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156,880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158,030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Средневзвешенный КПД </w:t>
            </w:r>
            <w:proofErr w:type="spell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котлоагрегатов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93,700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88,800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89,540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91,060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90,399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Тепловой эквивалент затраченного топлива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0,468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Средневзвешенный</w:t>
            </w:r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КИТТ выработки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Средневзвешенный</w:t>
            </w:r>
            <w:proofErr w:type="gramEnd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КИТТ выработки и передачи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bookmarkStart w:id="0" w:name="_GoBack" w:colFirst="9" w:colLast="9"/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Затраты на выработку тепловой энергии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Сырье, основные материалы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Вспомогательные материалы,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85,93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материалы на эксплуатацию,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14,62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85,93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материалы на ремонт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85,48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вода на технологические цели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плата за пользование водными объектами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Работы и услуги производственного характера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104,27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112,78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117,29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131,94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137,22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148,41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 том числе услуги по подрядному ремонту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тут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услуги транспорта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услуги водоснабжения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услуги по пуско-наладке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по испытаниям и опытам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292,87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278,97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236,64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351,37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361,91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372,77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383,95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395,47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407,33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419,55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432,14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445,10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458,46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472,21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Покупная энергия всего,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155,75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223,39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258,97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266,74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300,22</w:t>
            </w:r>
          </w:p>
        </w:tc>
      </w:tr>
      <w:tr w:rsidR="003B202E" w:rsidRPr="003B202E" w:rsidTr="00EB19E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покупная электрическая энергия на технологические цели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155,75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157,43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223,39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258,97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266,74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300,22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покупная тепловая энергия от ведомственных котельных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энергия на хозяйственные нужды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262,19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229,14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408,75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313,54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329,84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342,38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356,07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370,32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385,13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416,56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433,22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450,55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487,31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66,26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120,46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122,06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126,94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132,02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137,30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148,51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Прочие затраты всего,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37,88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60,74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82,97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89,74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целевые средства на НИОКР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средства на страхование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плата за предельно допустимые выбросы (сбросы)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отчисления в ремонтный фонд (в случае его формирования)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водный налог (ГЭС)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непроизводственные расходы (налоги и другие обязательные платежи и сборы)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налог на землю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B202E" w:rsidRPr="003B202E" w:rsidTr="00EB19E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другие затраты, относимые на себестоимость продукции, всего,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36,77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71,03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75,33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77,65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26,73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30,70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804,48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812,98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1177,79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1005,71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1224,49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1266,42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1311,16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1357,51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1405,53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1455,28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1506,83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1560,24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1615,58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1672,92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1732,34</w:t>
            </w:r>
          </w:p>
        </w:tc>
      </w:tr>
      <w:tr w:rsidR="003B202E" w:rsidRPr="003B202E" w:rsidTr="00EB19E1">
        <w:trPr>
          <w:trHeight w:val="7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Расчетные расходы по производству продукции (услуг)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804,48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812,99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1177,79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1005,71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1224,49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1266,42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1311,16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1357,51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1405,53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1455,28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1506,83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1560,24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1615,58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1672,92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1732,34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Прибыль всего,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-210,61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-174,20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-232,07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-235,43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-238,75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-242,02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-245,23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-248,38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-251,45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-254,44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-257,34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-260,13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дивиденды по акциям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прибыль на прочие цели,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% за пользование кредитом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услуги банка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расходы на демонтаж основных фондов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затраты на обучение и подготовку персонала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прибыль, облагаемая налогом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27,84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-210,61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-174,20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-115,83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-232,07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-235,43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-238,75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-242,02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-245,23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-248,38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-251,45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-254,44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-257,34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-260,13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Налоги, сборы, платежи, всего, 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 прибыль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плата за выбросы загрязняющих веществ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другие налоги и обязательные сборы и платежи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Выпадающие расходы по факту предыдущего года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B202E" w:rsidRPr="003B202E" w:rsidTr="00EB19E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808,37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840,83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967,18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831,51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1108,66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1075,73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1118,76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1163,51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1258,45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1308,79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1361,14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1415,58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1472,21</w:t>
            </w:r>
          </w:p>
        </w:tc>
      </w:tr>
      <w:tr w:rsidR="003B202E" w:rsidRPr="003B202E" w:rsidTr="00EB19E1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Тариф на производство тепловой энергии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2389,88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2511,63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2645,29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2726,01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2835,05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2948,45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3066,39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3189,04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3316,60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3449,27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3587,24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3730,73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3879,96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4035,15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02E" w:rsidRPr="003B202E" w:rsidRDefault="003B202E" w:rsidP="003B20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202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4196,56</w:t>
            </w:r>
          </w:p>
        </w:tc>
      </w:tr>
    </w:tbl>
    <w:p w:rsidR="00011CD0" w:rsidRPr="00011CD0" w:rsidRDefault="00011CD0" w:rsidP="00F43D4F">
      <w:pPr>
        <w:tabs>
          <w:tab w:val="left" w:pos="4260"/>
        </w:tabs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011CD0">
        <w:rPr>
          <w:rFonts w:ascii="Times New Roman" w:hAnsi="Times New Roman" w:cs="Times New Roman"/>
          <w:sz w:val="28"/>
          <w:szCs w:val="28"/>
        </w:rPr>
        <w:tab/>
      </w:r>
      <w:r w:rsidRPr="00011CD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4A4996" w:rsidRPr="00011CD0" w:rsidRDefault="004A4996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sectPr w:rsidR="004A4996" w:rsidRPr="00011CD0" w:rsidSect="002206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064A"/>
    <w:multiLevelType w:val="multilevel"/>
    <w:tmpl w:val="7C80CE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BE6"/>
    <w:rsid w:val="00011CD0"/>
    <w:rsid w:val="000451BF"/>
    <w:rsid w:val="000B065F"/>
    <w:rsid w:val="00220616"/>
    <w:rsid w:val="00257BE6"/>
    <w:rsid w:val="003441AE"/>
    <w:rsid w:val="003B202E"/>
    <w:rsid w:val="00460B43"/>
    <w:rsid w:val="004A4996"/>
    <w:rsid w:val="00744AE4"/>
    <w:rsid w:val="00766B5F"/>
    <w:rsid w:val="007B7570"/>
    <w:rsid w:val="008E37D7"/>
    <w:rsid w:val="0090721F"/>
    <w:rsid w:val="009535D7"/>
    <w:rsid w:val="00A26C6E"/>
    <w:rsid w:val="00D85955"/>
    <w:rsid w:val="00DD2DA0"/>
    <w:rsid w:val="00EB19E1"/>
    <w:rsid w:val="00F43D4F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257BE6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</w:rPr>
  </w:style>
  <w:style w:type="paragraph" w:styleId="a5">
    <w:name w:val="No Spacing"/>
    <w:uiPriority w:val="1"/>
    <w:qFormat/>
    <w:rsid w:val="00257BE6"/>
    <w:pPr>
      <w:spacing w:after="0" w:line="240" w:lineRule="auto"/>
    </w:pPr>
  </w:style>
  <w:style w:type="paragraph" w:styleId="a6">
    <w:name w:val="Body Text Indent"/>
    <w:basedOn w:val="a"/>
    <w:link w:val="a7"/>
    <w:rsid w:val="00011CD0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1CD0"/>
    <w:rPr>
      <w:rFonts w:ascii="Arial" w:eastAsia="Times New Roman" w:hAnsi="Arial" w:cs="Times New Roman"/>
      <w:sz w:val="24"/>
      <w:szCs w:val="24"/>
    </w:rPr>
  </w:style>
  <w:style w:type="character" w:styleId="a8">
    <w:name w:val="Hyperlink"/>
    <w:basedOn w:val="a0"/>
    <w:uiPriority w:val="99"/>
    <w:rsid w:val="00011CD0"/>
    <w:rPr>
      <w:color w:val="0000FF"/>
      <w:u w:val="single"/>
    </w:rPr>
  </w:style>
  <w:style w:type="character" w:styleId="a9">
    <w:name w:val="Strong"/>
    <w:basedOn w:val="a0"/>
    <w:qFormat/>
    <w:rsid w:val="00011CD0"/>
    <w:rPr>
      <w:b/>
      <w:bCs/>
    </w:rPr>
  </w:style>
  <w:style w:type="paragraph" w:customStyle="1" w:styleId="ConsPlusTitle">
    <w:name w:val="ConsPlusTitle"/>
    <w:uiPriority w:val="99"/>
    <w:rsid w:val="00011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0451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51BF"/>
    <w:rPr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F43D4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table" w:styleId="31">
    <w:name w:val="Table Simple 3"/>
    <w:basedOn w:val="a1"/>
    <w:rsid w:val="00F4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b">
    <w:name w:val="Table Grid"/>
    <w:basedOn w:val="a1"/>
    <w:uiPriority w:val="59"/>
    <w:rsid w:val="00F4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AD4B-9099-420B-A6EA-0AA3B50D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2019-01-23T08:39:00Z</cp:lastPrinted>
  <dcterms:created xsi:type="dcterms:W3CDTF">2019-01-22T12:22:00Z</dcterms:created>
  <dcterms:modified xsi:type="dcterms:W3CDTF">2021-10-20T06:27:00Z</dcterms:modified>
</cp:coreProperties>
</file>